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3B49ED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bookmarkStart w:id="0" w:name="_Toc450"/>
      <w:bookmarkStart w:id="1" w:name="_Toc13777"/>
      <w:bookmarkStart w:id="2" w:name="_Toc24744"/>
      <w:bookmarkStart w:id="3" w:name="_Toc16253"/>
      <w:bookmarkStart w:id="4" w:name="_Toc2481"/>
      <w:bookmarkStart w:id="5" w:name="_Toc18826"/>
      <w:r>
        <w:rPr>
          <w:rFonts w:hint="eastAsia" w:ascii="宋体" w:hAnsi="宋体" w:eastAsia="宋体" w:cs="宋体"/>
        </w:rPr>
        <w:drawing>
          <wp:inline distT="0" distB="0" distL="114300" distR="114300">
            <wp:extent cx="4810760" cy="426085"/>
            <wp:effectExtent l="0" t="0" r="0" b="0"/>
            <wp:docPr id="2" name="图片 1" descr="云链新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云链新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4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07344"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仿宋_GBK" w:hAnsi="方正仿宋_GBK" w:eastAsia="方正仿宋_GBK" w:cs="方正仿宋_GBK"/>
          <w:sz w:val="36"/>
          <w:szCs w:val="36"/>
          <w:lang w:val="en-US" w:eastAsia="zh-CN"/>
        </w:rPr>
      </w:pPr>
    </w:p>
    <w:p w14:paraId="4F700C62"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仿宋_GBK" w:hAnsi="方正仿宋_GBK" w:eastAsia="方正仿宋_GBK" w:cs="方正仿宋_GBK"/>
          <w:sz w:val="36"/>
          <w:szCs w:val="36"/>
          <w:lang w:val="en-US" w:eastAsia="zh-CN"/>
        </w:rPr>
      </w:pPr>
    </w:p>
    <w:p w14:paraId="77C33D2B"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仿宋_GBK" w:hAnsi="方正仿宋_GBK" w:eastAsia="方正仿宋_GBK" w:cs="方正仿宋_GBK"/>
          <w:sz w:val="36"/>
          <w:szCs w:val="36"/>
          <w:lang w:val="en-US" w:eastAsia="zh-CN"/>
        </w:rPr>
      </w:pPr>
    </w:p>
    <w:p w14:paraId="73CCE8AC">
      <w:pPr>
        <w:pStyle w:val="7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7" w:beforeLines="50" w:after="157" w:afterLines="50" w:line="560" w:lineRule="exact"/>
        <w:ind w:right="0"/>
        <w:jc w:val="center"/>
        <w:textAlignment w:val="baseline"/>
        <w:outlineLvl w:val="0"/>
        <w:rPr>
          <w:rFonts w:hint="eastAsia" w:ascii="方正小标宋_GBK" w:hAnsi="方正小标宋_GBK" w:eastAsia="方正小标宋_GBK" w:cs="方正小标宋_GBK"/>
          <w:snapToGrid w:val="0"/>
          <w:color w:val="000000" w:themeColor="text1"/>
          <w:spacing w:val="11"/>
          <w:kern w:val="0"/>
          <w:sz w:val="44"/>
          <w:szCs w:val="44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  <w14:textFill>
            <w14:solidFill>
              <w14:schemeClr w14:val="tx1"/>
            </w14:solidFill>
          </w14:textFill>
        </w:rPr>
      </w:pPr>
      <w:bookmarkStart w:id="6" w:name="_Toc1811"/>
      <w:bookmarkStart w:id="7" w:name="_Toc14262"/>
      <w:r>
        <w:rPr>
          <w:rFonts w:hint="eastAsia" w:ascii="方正小标宋_GBK" w:hAnsi="方正小标宋_GBK" w:eastAsia="方正小标宋_GBK" w:cs="方正小标宋_GBK"/>
          <w:snapToGrid w:val="0"/>
          <w:color w:val="000000" w:themeColor="text1"/>
          <w:spacing w:val="11"/>
          <w:kern w:val="0"/>
          <w:sz w:val="44"/>
          <w:szCs w:val="44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  <w14:textFill>
            <w14:solidFill>
              <w14:schemeClr w14:val="tx1"/>
            </w14:solidFill>
          </w14:textFill>
        </w:rPr>
        <w:t>城发集团阳光采购平台操作手册</w:t>
      </w:r>
      <w:bookmarkEnd w:id="6"/>
      <w:bookmarkEnd w:id="7"/>
    </w:p>
    <w:p w14:paraId="22BC46D6">
      <w:pPr>
        <w:pStyle w:val="7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7" w:beforeLines="50" w:after="157" w:afterLines="50" w:line="560" w:lineRule="exact"/>
        <w:ind w:right="0"/>
        <w:jc w:val="center"/>
        <w:textAlignment w:val="baseline"/>
        <w:outlineLvl w:val="0"/>
        <w:rPr>
          <w:rFonts w:hint="default" w:ascii="方正小标宋_GBK" w:hAnsi="方正小标宋_GBK" w:eastAsia="方正小标宋_GBK" w:cs="方正小标宋_GBK"/>
          <w:snapToGrid w:val="0"/>
          <w:color w:val="000000" w:themeColor="text1"/>
          <w:spacing w:val="11"/>
          <w:kern w:val="0"/>
          <w:sz w:val="44"/>
          <w:szCs w:val="44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snapToGrid w:val="0"/>
          <w:color w:val="000000" w:themeColor="text1"/>
          <w:spacing w:val="11"/>
          <w:kern w:val="0"/>
          <w:sz w:val="44"/>
          <w:szCs w:val="44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  <w14:textFill>
            <w14:solidFill>
              <w14:schemeClr w14:val="tx1"/>
            </w14:solidFill>
          </w14:textFill>
        </w:rPr>
        <w:t>供应商</w:t>
      </w:r>
      <w:bookmarkEnd w:id="0"/>
      <w:bookmarkEnd w:id="1"/>
      <w:bookmarkEnd w:id="2"/>
      <w:bookmarkEnd w:id="3"/>
      <w:bookmarkEnd w:id="4"/>
      <w:bookmarkEnd w:id="5"/>
      <w:r>
        <w:rPr>
          <w:rFonts w:hint="eastAsia" w:ascii="方正小标宋_GBK" w:hAnsi="方正小标宋_GBK" w:eastAsia="方正小标宋_GBK" w:cs="方正小标宋_GBK"/>
          <w:snapToGrid w:val="0"/>
          <w:color w:val="000000" w:themeColor="text1"/>
          <w:spacing w:val="11"/>
          <w:kern w:val="0"/>
          <w:sz w:val="44"/>
          <w:szCs w:val="44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  <w14:textFill>
            <w14:solidFill>
              <w14:schemeClr w14:val="tx1"/>
            </w14:solidFill>
          </w14:textFill>
        </w:rPr>
        <w:t>操作指引</w:t>
      </w:r>
    </w:p>
    <w:p w14:paraId="6381BA9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61EC486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5B768FD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32"/>
          <w:szCs w:val="32"/>
          <w:lang w:eastAsia="zh-CN"/>
        </w:rPr>
      </w:pPr>
    </w:p>
    <w:p w14:paraId="769B051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32"/>
          <w:szCs w:val="32"/>
          <w:lang w:eastAsia="zh-CN"/>
        </w:rPr>
      </w:pPr>
    </w:p>
    <w:p w14:paraId="1D141B9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32"/>
          <w:szCs w:val="32"/>
          <w:lang w:eastAsia="zh-CN"/>
        </w:rPr>
      </w:pPr>
    </w:p>
    <w:p w14:paraId="6DC6CB2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32"/>
          <w:szCs w:val="32"/>
          <w:lang w:eastAsia="zh-CN"/>
        </w:rPr>
      </w:pPr>
    </w:p>
    <w:p w14:paraId="6F52B43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32"/>
          <w:szCs w:val="32"/>
          <w:lang w:eastAsia="zh-CN"/>
        </w:rPr>
      </w:pPr>
    </w:p>
    <w:p w14:paraId="140E994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32"/>
          <w:szCs w:val="32"/>
          <w:lang w:eastAsia="zh-CN"/>
        </w:rPr>
      </w:pPr>
    </w:p>
    <w:p w14:paraId="065437F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32"/>
          <w:szCs w:val="32"/>
          <w:lang w:eastAsia="zh-CN"/>
        </w:rPr>
      </w:pPr>
    </w:p>
    <w:p w14:paraId="73FDECC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32"/>
          <w:szCs w:val="32"/>
          <w:lang w:eastAsia="zh-CN"/>
        </w:rPr>
      </w:pPr>
    </w:p>
    <w:p w14:paraId="11026ED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32"/>
          <w:szCs w:val="32"/>
          <w:lang w:eastAsia="zh-CN"/>
        </w:rPr>
      </w:pPr>
    </w:p>
    <w:p w14:paraId="0E74C306">
      <w:pPr>
        <w:pStyle w:val="2"/>
        <w:rPr>
          <w:rFonts w:hint="eastAsia"/>
          <w:lang w:eastAsia="zh-CN"/>
        </w:rPr>
      </w:pPr>
    </w:p>
    <w:p w14:paraId="5F6FE47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32"/>
          <w:szCs w:val="32"/>
          <w:lang w:eastAsia="zh-CN"/>
        </w:rPr>
      </w:pPr>
    </w:p>
    <w:sdt>
      <w:sdtP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id w:val="147474046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kern w:val="2"/>
          <w:sz w:val="21"/>
          <w:szCs w:val="24"/>
          <w:lang w:val="en-US" w:eastAsia="zh-CN" w:bidi="ar-SA"/>
        </w:rPr>
      </w:sdtEndPr>
      <w:sdtContent>
        <w:p w14:paraId="256205A8">
          <w:pPr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textAlignment w:val="auto"/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</w:rPr>
            <w:t>目录</w:t>
          </w:r>
        </w:p>
        <w:p w14:paraId="71EC4B2D">
          <w:pPr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60" w:lineRule="auto"/>
            <w:ind w:left="0" w:leftChars="0" w:right="0" w:rightChars="0" w:firstLine="0" w:firstLineChars="0"/>
            <w:jc w:val="left"/>
            <w:textAlignment w:val="auto"/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instrText xml:space="preserve"> HYPERLINK \l _Toc23043 </w:instrText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t xml:space="preserve">    </w:t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t>登录..................................................1</w:t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7DD2CF10">
          <w:pPr>
            <w:pStyle w:val="14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instrText xml:space="preserve">TOC \o "1-3" \h \u </w:instrText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instrText xml:space="preserve"> HYPERLINK \l _Toc23043 </w:instrText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t>一、项目报名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t>2</w:t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372F2AEA">
          <w:pPr>
            <w:pStyle w:val="14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instrText xml:space="preserve"> HYPERLINK \l _Toc32272 </w:instrText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t>二、项目报价</w:t>
          </w:r>
          <w:bookmarkStart w:id="26" w:name="_GoBack"/>
          <w:bookmarkEnd w:id="26"/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_Toc32272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4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56284E6B">
          <w:pPr>
            <w:pStyle w:val="14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instrText xml:space="preserve"> HYPERLINK \l _Toc19516 </w:instrText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t>三、采购成交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_Toc19516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9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2FF1A79E">
          <w:pPr>
            <w:pStyle w:val="14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instrText xml:space="preserve"> HYPERLINK \l _Toc17732 </w:instrText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t>四、收发货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_Toc17732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10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11F9FC4A">
          <w:pPr>
            <w:pStyle w:val="14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instrText xml:space="preserve"> HYPERLINK \l _Toc14773 </w:instrText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t>五、订单确认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_Toc14773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12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32CD6E64">
          <w:pPr>
            <w:pStyle w:val="14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instrText xml:space="preserve"> HYPERLINK \l _Toc17749 </w:instrText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t>六、对账/结算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_Toc17749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13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5A9C5FC5">
          <w:pPr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jc w:val="left"/>
            <w:textAlignment w:val="auto"/>
            <w:rPr>
              <w:rFonts w:hint="eastAsia" w:ascii="宋体" w:hAnsi="宋体" w:eastAsia="宋体" w:cs="宋体"/>
              <w:kern w:val="2"/>
              <w:sz w:val="21"/>
              <w:szCs w:val="24"/>
              <w:lang w:val="en-US" w:eastAsia="zh-CN" w:bidi="ar-SA"/>
            </w:rPr>
          </w:pPr>
          <w:r>
            <w:rPr>
              <w:rFonts w:hint="eastAsia" w:ascii="黑体" w:hAnsi="黑体" w:eastAsia="黑体" w:cs="黑体"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</w:sdtContent>
    </w:sdt>
    <w:p w14:paraId="4B0AB35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kern w:val="2"/>
          <w:sz w:val="32"/>
          <w:szCs w:val="24"/>
          <w:lang w:val="en-US" w:eastAsia="zh-CN" w:bidi="ar-SA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20BB4E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cs="宋体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  <w:t>登录</w:t>
      </w:r>
    </w:p>
    <w:p w14:paraId="0CBE81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网址：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instrText xml:space="preserve"> HYPERLINK "https://www.hascfjtyl.com/qytpbidder" </w:instrTex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https://www.hascfjtyl.com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end"/>
      </w:r>
    </w:p>
    <w:p w14:paraId="3F1FD5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如图选择供应商登录入口</w:t>
      </w:r>
    </w:p>
    <w:p w14:paraId="0116129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4109085"/>
            <wp:effectExtent l="0" t="0" r="1905" b="5715"/>
            <wp:docPr id="25" name="图片 25" descr="局部截取_20250319_135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局部截取_20250319_1357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1B4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系统提供账号注册、CA注册两种方式。（江苏省公共资源招投标领域CA均可通用）</w:t>
      </w:r>
    </w:p>
    <w:p w14:paraId="7949566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drawing>
          <wp:inline distT="0" distB="0" distL="114300" distR="114300">
            <wp:extent cx="5400040" cy="2584450"/>
            <wp:effectExtent l="0" t="0" r="10160" b="635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6E89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  <w:bookmarkStart w:id="8" w:name="_Toc23043"/>
      <w:r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  <w:t>一、项目报名</w:t>
      </w:r>
      <w:bookmarkEnd w:id="8"/>
    </w:p>
    <w:p w14:paraId="5D81F20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  <w:bookmarkStart w:id="9" w:name="_Toc3364"/>
      <w:r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  <w:t>1.项目响应</w:t>
      </w:r>
      <w:bookmarkEnd w:id="9"/>
    </w:p>
    <w:p w14:paraId="47AA40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登入会员系统，如果在工作台中查找需报名项目，也可以在上方搜索框中使用标段编号、标段名称进行查询。</w:t>
      </w:r>
    </w:p>
    <w:p w14:paraId="1B3240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查到对应项目后，鼠标悬停在标段上方，再点击进入项目按钮，即可进入项目工作台。</w:t>
      </w:r>
    </w:p>
    <w:p w14:paraId="4576E0E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86020" cy="2195195"/>
            <wp:effectExtent l="0" t="0" r="5080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499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如图进入工作台，完善联系人、联系方式，点击页面右上角我要相应按钮，进行项目响应。</w:t>
      </w:r>
    </w:p>
    <w:p w14:paraId="5A496D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如该项目需要报名审核，请在该页面上传报名审核文件，以便采购人审核。</w:t>
      </w:r>
    </w:p>
    <w:p w14:paraId="17F254F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86020" cy="2132965"/>
            <wp:effectExtent l="0" t="0" r="5080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E86A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  <w:bookmarkStart w:id="10" w:name="_Toc32659"/>
    </w:p>
    <w:p w14:paraId="445E6E9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  <w:t>2.下载采购文件</w:t>
      </w:r>
      <w:bookmarkEnd w:id="10"/>
    </w:p>
    <w:p w14:paraId="1E8A09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在工作台单击采购文件菜单，进行采购文件下载。</w:t>
      </w:r>
    </w:p>
    <w:p w14:paraId="613C32C0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86020" cy="2336165"/>
            <wp:effectExtent l="0" t="0" r="5080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78CB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  <w:bookmarkStart w:id="11" w:name="_Toc2300"/>
      <w:r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  <w:t>3.采购文件澄清</w:t>
      </w:r>
      <w:bookmarkEnd w:id="11"/>
    </w:p>
    <w:p w14:paraId="7CC448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工作台内单击采购文件澄清菜单，查看澄清内容。</w:t>
      </w:r>
    </w:p>
    <w:p w14:paraId="33697C71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86020" cy="2177415"/>
            <wp:effectExtent l="0" t="0" r="5080" b="698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41CA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  <w:bookmarkStart w:id="12" w:name="_Toc32272"/>
    </w:p>
    <w:p w14:paraId="057AE60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07BBF5C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4F583B9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167BC8B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19B47F8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5B0D0CB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  <w:t>二、项目报价</w:t>
      </w:r>
      <w:bookmarkEnd w:id="12"/>
    </w:p>
    <w:p w14:paraId="5E60550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  <w:bookmarkStart w:id="13" w:name="_Toc4252"/>
      <w:r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  <w:t>1.招标采购</w:t>
      </w:r>
      <w:bookmarkEnd w:id="13"/>
    </w:p>
    <w:p w14:paraId="7E80E3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前置流程：完成报名，如项目需要供应商报名审核，需要先通过审查。</w:t>
      </w:r>
    </w:p>
    <w:p w14:paraId="45CC20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半电子化：填写报价信息，上传报价清单和响应文件，确认提交。</w:t>
      </w:r>
    </w:p>
    <w:p w14:paraId="4CDAB2D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86020" cy="2340610"/>
            <wp:effectExtent l="0" t="0" r="5080" b="889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EF3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全电子化：在下载采购文件菜单页面下方，找到投标文件制作工具下载链接，按流程制作投标文件。回到工作台上传投标文件。</w:t>
      </w:r>
    </w:p>
    <w:p w14:paraId="3D00D9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点击模拟解密按钮，可以插入CA锁验证解密情况。</w:t>
      </w:r>
    </w:p>
    <w:p w14:paraId="3FDC552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86020" cy="2166620"/>
            <wp:effectExtent l="0" t="0" r="5080" b="508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D0E6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  <w:bookmarkStart w:id="14" w:name="_Toc21137"/>
    </w:p>
    <w:p w14:paraId="0E7E2CA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7707671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34EE02E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599564D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  <w:t>2.谈判采购</w:t>
      </w:r>
      <w:bookmarkEnd w:id="14"/>
    </w:p>
    <w:p w14:paraId="030977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前置流程：完成报名，如项目需要供应商报名审核，需要先通过审查。</w:t>
      </w:r>
    </w:p>
    <w:p w14:paraId="1D04E9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半电子化：填写报价信息，上传报价清单和响应文件，确认提交。</w:t>
      </w:r>
    </w:p>
    <w:p w14:paraId="07E317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谈判有多轮报价，等待报价时间截至开启下一轮报价。</w:t>
      </w:r>
    </w:p>
    <w:p w14:paraId="4140C0E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86020" cy="2340610"/>
            <wp:effectExtent l="0" t="0" r="5080" b="889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6C45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6CB124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全电子化：在下载采购文件菜单页面下方，找到投标文件制作工具下载链接，按流程制作投标文件。回到工作台上传投标文件。</w:t>
      </w:r>
    </w:p>
    <w:p w14:paraId="4EBA7A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点击模拟解密按钮，可以插入CA锁验证解密情况。</w:t>
      </w:r>
    </w:p>
    <w:p w14:paraId="44CBC17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</w:p>
    <w:p w14:paraId="6FD96230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86020" cy="2166620"/>
            <wp:effectExtent l="0" t="0" r="5080" b="508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7523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  <w:bookmarkStart w:id="15" w:name="_Toc29457"/>
    </w:p>
    <w:p w14:paraId="6BCD04C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17B741D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5093387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  <w:t>3.询比采购</w:t>
      </w:r>
      <w:bookmarkEnd w:id="15"/>
    </w:p>
    <w:p w14:paraId="45C08B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前置流程：完成报名，如项目需要供应商报名审核，需要先通过审查。</w:t>
      </w:r>
    </w:p>
    <w:p w14:paraId="703AE5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半电子化：填写报价信息，上传报价清单和响应文件，确认提交。</w:t>
      </w:r>
    </w:p>
    <w:p w14:paraId="22DA69A9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86020" cy="2136140"/>
            <wp:effectExtent l="0" t="0" r="5080" b="1016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4D9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全电子化：在下载采购文件菜单页面下方，找到投标文件制作工具下载链接，按流程制作投标文件。回到工作台上传投标文件。</w:t>
      </w:r>
    </w:p>
    <w:p w14:paraId="5EE03B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点击模拟解密按钮，可以插入CA锁验证解密情况。</w:t>
      </w:r>
    </w:p>
    <w:p w14:paraId="6A41233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</w:p>
    <w:p w14:paraId="74AE3C69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86020" cy="2166620"/>
            <wp:effectExtent l="0" t="0" r="5080" b="508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37FC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  <w:bookmarkStart w:id="16" w:name="_Toc9445"/>
    </w:p>
    <w:p w14:paraId="2757CD3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1C2CBEA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5AC0833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7DFB519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0A710F5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  <w:t>4.直接采购</w:t>
      </w:r>
      <w:bookmarkEnd w:id="16"/>
    </w:p>
    <w:p w14:paraId="276104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前置流程：完成报名，如项目需要供应商报名审核，需要先通过审查。</w:t>
      </w:r>
    </w:p>
    <w:p w14:paraId="19D1DF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确认邀请函：工作台菜单，确认邀请函并递交回执。</w:t>
      </w:r>
    </w:p>
    <w:p w14:paraId="3B56DB6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86020" cy="2182495"/>
            <wp:effectExtent l="0" t="0" r="5080" b="190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648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参与报价：上传响应文件提交报价信息。无多轮报价。</w:t>
      </w:r>
    </w:p>
    <w:p w14:paraId="773FD34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86020" cy="2166620"/>
            <wp:effectExtent l="0" t="0" r="5080" b="508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581B3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5E0DECD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  <w:bookmarkStart w:id="17" w:name="_Toc16928"/>
    </w:p>
    <w:p w14:paraId="5199ECA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093C847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7A83C1D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1955D75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4209D5B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55DF060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  <w:t>5.竞价采购</w:t>
      </w:r>
      <w:bookmarkEnd w:id="17"/>
    </w:p>
    <w:p w14:paraId="7EA2A7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前置流程：完成报名，如项目需要供应商报名审核，需要先通过审查。</w:t>
      </w:r>
    </w:p>
    <w:p w14:paraId="2ED0C4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半电子化：填写报价信息，上传报价清单和响应文件，确认提交。</w:t>
      </w:r>
    </w:p>
    <w:p w14:paraId="335E737A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86020" cy="2136140"/>
            <wp:effectExtent l="0" t="0" r="5080" b="1016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F48A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</w:p>
    <w:p w14:paraId="173AAC48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</w:p>
    <w:p w14:paraId="5A45AB5F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</w:p>
    <w:p w14:paraId="6CD39320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</w:p>
    <w:p w14:paraId="15BFF8A3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</w:p>
    <w:p w14:paraId="1A2C71E0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</w:p>
    <w:p w14:paraId="17BCB1FC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</w:p>
    <w:p w14:paraId="4675A705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</w:p>
    <w:p w14:paraId="01AD8CB9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</w:p>
    <w:p w14:paraId="0679DE8F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</w:p>
    <w:p w14:paraId="33040C41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</w:p>
    <w:p w14:paraId="21F3FC21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</w:p>
    <w:p w14:paraId="1B4E6C48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</w:p>
    <w:p w14:paraId="503957B6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</w:p>
    <w:p w14:paraId="61F794A7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</w:p>
    <w:p w14:paraId="4AF52EF7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</w:p>
    <w:p w14:paraId="1C65EF26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</w:p>
    <w:p w14:paraId="10DEC99F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</w:p>
    <w:p w14:paraId="281A53C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  <w:bookmarkStart w:id="18" w:name="_Toc19516"/>
      <w:r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  <w:t>三、采购成交</w:t>
      </w:r>
      <w:bookmarkEnd w:id="18"/>
    </w:p>
    <w:p w14:paraId="0314151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  <w:bookmarkStart w:id="19" w:name="_Toc23212"/>
      <w:r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  <w:t>1.合同签署</w:t>
      </w:r>
      <w:bookmarkEnd w:id="19"/>
    </w:p>
    <w:p w14:paraId="70150F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前提条件：成交结果公示完成</w:t>
      </w:r>
    </w:p>
    <w:p w14:paraId="05E03A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工作台-合同签署菜单，确认合同信息，流转至下一步。</w:t>
      </w:r>
    </w:p>
    <w:p w14:paraId="26DD06C3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86020" cy="2153920"/>
            <wp:effectExtent l="0" t="0" r="5080" b="508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A82F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  <w:bookmarkStart w:id="20" w:name="_Toc29313"/>
      <w:r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  <w:t>2.成交通知书查看</w:t>
      </w:r>
      <w:bookmarkEnd w:id="20"/>
    </w:p>
    <w:p w14:paraId="42E1CB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工作台-成交通知书菜单查看，如右上角提示控件无法激活，检查浏览器，或换成Edge浏览器。</w:t>
      </w:r>
    </w:p>
    <w:p w14:paraId="36BDBCA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86020" cy="2198370"/>
            <wp:effectExtent l="0" t="0" r="5080" b="1143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8606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  <w:bookmarkStart w:id="21" w:name="_Toc17732"/>
    </w:p>
    <w:p w14:paraId="427AE97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2A1683E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7F53CA0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69199EC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  <w:t>四、收发货</w:t>
      </w:r>
      <w:bookmarkEnd w:id="21"/>
    </w:p>
    <w:p w14:paraId="3A77C29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  <w:bookmarkStart w:id="22" w:name="_Toc4904"/>
      <w:r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  <w:t>1.收发货地址管理</w:t>
      </w:r>
      <w:bookmarkEnd w:id="22"/>
    </w:p>
    <w:p w14:paraId="21689D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在主页面右侧找到收发货地址管理，新增地址。</w:t>
      </w:r>
    </w:p>
    <w:p w14:paraId="5F652689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86020" cy="2151380"/>
            <wp:effectExtent l="0" t="0" r="5080" b="762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42374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7D7AF137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86020" cy="2203450"/>
            <wp:effectExtent l="0" t="0" r="5080" b="635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35C3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  <w:bookmarkStart w:id="23" w:name="_Toc22562"/>
    </w:p>
    <w:p w14:paraId="40EF54D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0869D7F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0F84504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717EFE1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11AD4E0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076FC10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582CBAD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  <w:t>2.收发货管理</w:t>
      </w:r>
      <w:bookmarkEnd w:id="23"/>
    </w:p>
    <w:p w14:paraId="4BC9CD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在主页右侧找到收货管理，查看发货信息，填写物流信息后发货。</w:t>
      </w:r>
    </w:p>
    <w:p w14:paraId="23A61F45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68240" cy="2167890"/>
            <wp:effectExtent l="0" t="0" r="10160" b="381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90D69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86020" cy="2169160"/>
            <wp:effectExtent l="0" t="0" r="5080" b="254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43C6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  <w:bookmarkStart w:id="24" w:name="_Toc14773"/>
    </w:p>
    <w:p w14:paraId="2EE397E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794AE0C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52D6EA2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20CC95D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368A740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45D7F0A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1CC024C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0BD7320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</w:p>
    <w:p w14:paraId="57AD7D1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  <w:t>五、订单确认</w:t>
      </w:r>
      <w:bookmarkEnd w:id="24"/>
    </w:p>
    <w:p w14:paraId="7928EA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在主页右侧找到订单确认，找到对应项目，确认信息并确认订单</w:t>
      </w:r>
    </w:p>
    <w:p w14:paraId="2D960837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86020" cy="2143760"/>
            <wp:effectExtent l="0" t="0" r="5080" b="254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701E4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86020" cy="2122805"/>
            <wp:effectExtent l="0" t="0" r="5080" b="10795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346DC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</w:p>
    <w:p w14:paraId="0354EDF2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</w:p>
    <w:p w14:paraId="2F732835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</w:p>
    <w:p w14:paraId="504410F3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</w:p>
    <w:p w14:paraId="3A9CFE76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</w:p>
    <w:p w14:paraId="06AEBA90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</w:p>
    <w:p w14:paraId="1076C2E9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</w:p>
    <w:p w14:paraId="6C9B117D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</w:p>
    <w:p w14:paraId="55EAB5A9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</w:p>
    <w:p w14:paraId="30128A6D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</w:p>
    <w:p w14:paraId="40C29ED0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</w:p>
    <w:p w14:paraId="57FFE5D9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6898C52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</w:pPr>
      <w:bookmarkStart w:id="25" w:name="_Toc17749"/>
      <w:r>
        <w:rPr>
          <w:rFonts w:hint="eastAsia" w:ascii="黑体" w:hAnsi="黑体" w:eastAsia="黑体" w:cs="黑体"/>
          <w:b w:val="0"/>
          <w:bCs/>
          <w:kern w:val="2"/>
          <w:sz w:val="28"/>
          <w:szCs w:val="28"/>
          <w:lang w:val="en-US" w:eastAsia="zh-CN" w:bidi="ar-SA"/>
        </w:rPr>
        <w:t>六、对账/结算</w:t>
      </w:r>
      <w:bookmarkEnd w:id="25"/>
    </w:p>
    <w:p w14:paraId="2AFEC9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在主页右侧找到付款申请，新增结算。</w:t>
      </w:r>
    </w:p>
    <w:p w14:paraId="43B4642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344C8DA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86020" cy="2127885"/>
            <wp:effectExtent l="0" t="0" r="5080" b="5715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8EFD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86020" cy="2143760"/>
            <wp:effectExtent l="0" t="0" r="5080" b="2540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54E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软件使用咨询人及电话： 王工  13092455156</w:t>
      </w:r>
    </w:p>
    <w:p w14:paraId="60125CB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val="en-US"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A4C89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27F14C">
                          <w:pPr>
                            <w:pStyle w:val="8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uMeuo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m4x66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E27F14C">
                    <w:pPr>
                      <w:pStyle w:val="8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D35528">
    <w:pPr>
      <w:pStyle w:val="9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24B60"/>
    <w:rsid w:val="007F0A1D"/>
    <w:rsid w:val="01836192"/>
    <w:rsid w:val="01E90844"/>
    <w:rsid w:val="026E0D49"/>
    <w:rsid w:val="07DB2DC2"/>
    <w:rsid w:val="080E32CB"/>
    <w:rsid w:val="0B17438C"/>
    <w:rsid w:val="0BEF2EFA"/>
    <w:rsid w:val="0C452B1A"/>
    <w:rsid w:val="0CF50E9C"/>
    <w:rsid w:val="0CFD33F5"/>
    <w:rsid w:val="0DD85A16"/>
    <w:rsid w:val="0ED87C76"/>
    <w:rsid w:val="10821354"/>
    <w:rsid w:val="12154D3D"/>
    <w:rsid w:val="16CE195E"/>
    <w:rsid w:val="195A572B"/>
    <w:rsid w:val="21537630"/>
    <w:rsid w:val="21A2680D"/>
    <w:rsid w:val="223905D4"/>
    <w:rsid w:val="22602004"/>
    <w:rsid w:val="24B959FC"/>
    <w:rsid w:val="24FF110F"/>
    <w:rsid w:val="25AB010E"/>
    <w:rsid w:val="27CB7B5F"/>
    <w:rsid w:val="285D21DA"/>
    <w:rsid w:val="2A032F1D"/>
    <w:rsid w:val="2C3A26E7"/>
    <w:rsid w:val="2C53613E"/>
    <w:rsid w:val="2CF45547"/>
    <w:rsid w:val="2D3D2BF7"/>
    <w:rsid w:val="2D443D65"/>
    <w:rsid w:val="2D5A1BC8"/>
    <w:rsid w:val="30EB33E1"/>
    <w:rsid w:val="33FA4718"/>
    <w:rsid w:val="35D2691D"/>
    <w:rsid w:val="378E2AD2"/>
    <w:rsid w:val="39083C99"/>
    <w:rsid w:val="3B4A2E09"/>
    <w:rsid w:val="3D39203A"/>
    <w:rsid w:val="3DCF59F3"/>
    <w:rsid w:val="3DF00289"/>
    <w:rsid w:val="3E526182"/>
    <w:rsid w:val="3EBC016B"/>
    <w:rsid w:val="41114D6F"/>
    <w:rsid w:val="4114720E"/>
    <w:rsid w:val="42483274"/>
    <w:rsid w:val="425E35DB"/>
    <w:rsid w:val="42DC702D"/>
    <w:rsid w:val="42FF419F"/>
    <w:rsid w:val="455A43F1"/>
    <w:rsid w:val="46C2724B"/>
    <w:rsid w:val="471F0F06"/>
    <w:rsid w:val="47750F78"/>
    <w:rsid w:val="47785E61"/>
    <w:rsid w:val="48425B85"/>
    <w:rsid w:val="490C7F41"/>
    <w:rsid w:val="4A091E94"/>
    <w:rsid w:val="4A683578"/>
    <w:rsid w:val="4A842484"/>
    <w:rsid w:val="4ADF0F61"/>
    <w:rsid w:val="4B6B71A0"/>
    <w:rsid w:val="4C107D48"/>
    <w:rsid w:val="4C5639AD"/>
    <w:rsid w:val="4CE76CFB"/>
    <w:rsid w:val="4D155616"/>
    <w:rsid w:val="4D47109A"/>
    <w:rsid w:val="4D69362C"/>
    <w:rsid w:val="4DE90850"/>
    <w:rsid w:val="50B821E1"/>
    <w:rsid w:val="50BE6DE5"/>
    <w:rsid w:val="56101070"/>
    <w:rsid w:val="58C15EA3"/>
    <w:rsid w:val="5B5A2D8E"/>
    <w:rsid w:val="5CA16EC6"/>
    <w:rsid w:val="5CD55935"/>
    <w:rsid w:val="5FE10DF8"/>
    <w:rsid w:val="5FED2422"/>
    <w:rsid w:val="602045A6"/>
    <w:rsid w:val="605B738C"/>
    <w:rsid w:val="6106379C"/>
    <w:rsid w:val="62C531E2"/>
    <w:rsid w:val="639F1C85"/>
    <w:rsid w:val="65E322FD"/>
    <w:rsid w:val="67144738"/>
    <w:rsid w:val="671E02BE"/>
    <w:rsid w:val="684B2DCF"/>
    <w:rsid w:val="6AE62035"/>
    <w:rsid w:val="6BB12556"/>
    <w:rsid w:val="6CDC6F8F"/>
    <w:rsid w:val="6F174DC6"/>
    <w:rsid w:val="71C732C6"/>
    <w:rsid w:val="7306762B"/>
    <w:rsid w:val="757E5B9F"/>
    <w:rsid w:val="76C11E60"/>
    <w:rsid w:val="78511348"/>
    <w:rsid w:val="7A2B3E1B"/>
    <w:rsid w:val="7C8178DB"/>
    <w:rsid w:val="7D580E3B"/>
    <w:rsid w:val="7DF24E2F"/>
    <w:rsid w:val="7E1E2589"/>
    <w:rsid w:val="7E9E2A94"/>
    <w:rsid w:val="7FAD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widowControl w:val="0"/>
      <w:spacing w:before="340" w:beforeLines="0" w:beforeAutospacing="0" w:after="330" w:afterLines="0" w:afterAutospacing="0" w:line="576" w:lineRule="auto"/>
      <w:jc w:val="both"/>
      <w:outlineLvl w:val="0"/>
    </w:pPr>
    <w:rPr>
      <w:rFonts w:ascii="Calibri" w:hAnsi="Calibri" w:eastAsia="宋体" w:cs="Times New Roman"/>
      <w:b/>
      <w:kern w:val="44"/>
      <w:sz w:val="44"/>
      <w:szCs w:val="24"/>
      <w:lang w:val="en-US" w:eastAsia="zh-CN" w:bidi="ar-SA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1"/>
    <w:basedOn w:val="1"/>
    <w:qFormat/>
    <w:uiPriority w:val="0"/>
    <w:pPr>
      <w:spacing w:beforeLines="25" w:line="360" w:lineRule="atLeast"/>
      <w:ind w:firstLine="200" w:firstLineChars="200"/>
    </w:pPr>
    <w:rPr>
      <w:sz w:val="24"/>
    </w:rPr>
  </w:style>
  <w:style w:type="paragraph" w:styleId="7">
    <w:name w:val="Body Text"/>
    <w:basedOn w:val="1"/>
    <w:qFormat/>
    <w:uiPriority w:val="0"/>
    <w:pPr>
      <w:spacing w:after="283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paragraph" w:customStyle="1" w:styleId="13">
    <w:name w:val="样式2"/>
    <w:basedOn w:val="1"/>
    <w:qFormat/>
    <w:uiPriority w:val="0"/>
    <w:pPr>
      <w:jc w:val="center"/>
    </w:pPr>
    <w:rPr>
      <w:rFonts w:hint="eastAsia" w:ascii="Times New Roman" w:hAnsi="Times New Roman"/>
      <w:b/>
      <w:bCs/>
      <w:sz w:val="48"/>
      <w:szCs w:val="48"/>
    </w:rPr>
  </w:style>
  <w:style w:type="paragraph" w:customStyle="1" w:styleId="14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5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1195</Words>
  <Characters>1302</Characters>
  <Lines>0</Lines>
  <Paragraphs>0</Paragraphs>
  <TotalTime>0</TotalTime>
  <ScaleCrop>false</ScaleCrop>
  <LinksUpToDate>false</LinksUpToDate>
  <CharactersWithSpaces>1315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2024-11-20T09:06:00Z</dcterms:created>
  <dc:creator>29037</dc:creator>
  <cp:lastModifiedBy>高霜</cp:lastModifiedBy>
  <dcterms:modified xsi:type="dcterms:W3CDTF">2025-03-20T07:11:54Z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03259340DEA04638914E3148538BB43D_13</vt:lpwstr>
  </property>
  <property fmtid="{D5CDD505-2E9C-101B-9397-08002B2CF9AE}" pid="4" name="KSOTemplateDocerSaveRecord">
    <vt:lpwstr>eyJoZGlkIjoiYTA4ODNjYzI0MGFiNDhjMjRlZTc1ZTc1MWVlY2U5ODgiLCJ1c2VySWQiOiIzNjY4ODkxNzIifQ==</vt:lpwstr>
  </property>
</Properties>
</file>